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301</w:t>
      </w:r>
    </w:p>
    <w:p>
      <w:r>
        <w:t>Bundesgericht (BGE), 1995-04-05, DE</w:t>
      </w:r>
    </w:p>
    <w:p>
      <w:r>
        <w:rPr>
          <w:b/>
        </w:rPr>
        <w:t xml:space="preserve">Quelle: </w:t>
      </w:r>
      <w:r>
        <w:t>https://mcp.opencaselaw.ch/entscheid/bge_121 III 301</w:t>
      </w:r>
    </w:p>
    <w:p>
      <w:r>
        <w:t>FR: ATF 121 III 301</w:t>
      </w:r>
    </w:p>
    <w:p>
      <w:r>
        <w:t>IT: DTF 121 III 301</w:t>
      </w:r>
    </w:p>
    <w:p>
      <w:pPr>
        <w:pStyle w:val="Heading2"/>
      </w:pPr>
      <w:r>
        <w:t>Regeste</w:t>
      </w:r>
    </w:p>
    <w:p>
      <w:r>
        <w:t>Regeste Aufteilung eines allfälligen Fehlbetrages bei der Festsetzung des Unterhaltsbeitrages im Eheschutzverfahren (Art. 4 BV; Art. 159, 163, 176 Abs. 1 Ziff. 1 ZGB). Eine Unterhaltsregelung gemäss Art. 176 Abs. 1 Ziff. 1 ZGB, welche dem erwerbstätigen, unterhaltspflichtigen Ehegatten auf jeden Fall das betreibungsrechtliche Existenzminimum belässt und einen allfälligen Fehlbetrag einzig beim Unterhaltsanspruch des anderen Ehegatten berücksichtigt, ist nicht willkürlich (E. 5b).</w:t>
      </w:r>
    </w:p>
    <w:p>
      <w:pPr>
        <w:pStyle w:val="Heading2"/>
      </w:pPr>
      <w:r>
        <w:t>Erwägungen</w:t>
      </w:r>
    </w:p>
    <w:p>
      <w:r>
        <w:rPr>
          <w:b/>
        </w:rPr>
        <w:t>E. 5</w:t>
      </w:r>
    </w:p>
    <w:p>
      <w:r>
        <w:t>Die Beschwerdeführerin erblickt alsdann im Umstand, dass die letzte kantonale Instanz den sich nach Abzug beider Existenzminima vom Gesamteinkommen der Eheleute ergebenden Fehlbetrag ihr allein überbunden hat, eine willkürliche Auslegung der Art. 159, 163 und 176 ZGB . .... b) (Darlegung der Regelung, wie sie aufgrund der Rechtsprechung für die vorsorglichen Massnahmen nach Art. 145 Abs. 2 ZGB gilt) .... Im vorliegenden Fall geht es zwar nicht um die Festsetzung von Unterhaltsbeiträgen für die Dauer des Scheidungsverfahrens. Wie Art. 145 Abs. 2 ZGB enthält indes auch Art. 176 Abs. 1 ZGB Regeln für den Fall, dass der gemeinsame eheliche Haushalt trotz bestehender Ehe aufgelöst wird. Der einzige Unterschied besteht darin, dass Art. 145 Abs. 1 ZGB nach BGE 121 III 301 S. 303 Einreichung der Scheidungs- bzw. Trennungsklage einen unbedingten Anspruch auf Auflösung des gemeinsamen Haushalts verleiht, während Art. 175 ZGB einen Ehegatten einzig dann zur Auflösung des Haushalts berechtigt, wenn eine "ernstliche Gefährdung" gegeben ist. Liegt aber eine solche vor und wird der Haushalt deswegen aufgelöst, so zieht dies die gleichen Konsequenzen nach sich: Der Richter hat in diesem Fall wie bei den vorsorglichen Massnahmen nach Art. 145 Abs. 2 ZGB Regelungen hinsichtlich Wohnung, elterliche Obhut über die Kinder, Unterhaltsbeiträge sowie güterrechtliche Anordnungen zu treffen. Dass Art. 145 Abs. 2 und Art. 176 ZGB die gleiche Situation beschlagen, wird sodann auch dadurch bestätigt, dass bei der Revision des Eherechts auch Art. 145 ZGB eine Änderung erfahren hat und an den Wortlaut von Art. 163 und Art. 176 ZGB angepasst worden ist, obwohl die erstgenannte Bestimmung nicht zum engeren Gegenstand der Revision gehörte. Schliesslich wird in der Literatur nicht unterschieden, ob die Unterhaltsbeiträge nach Art. 145 Abs. 2 ZGB oder Art. 176 Abs. 1 Ziff. 1 ZGB zuzusprechen sind. Unter diesen Umständen aber ist es nicht unhaltbar, bei der Festsetzung des Unterhaltsbeitrages im Rahmen von Eheschutzmassnahmen dem rentenpflichtigen Ehegatten das volle Existenzminimum zu belassen und den negativen Saldo allein dem rentenberechtigten Partner zu überbinden. Von einer willkürlichen Auslegung der Art. 159, 163 bzw. Art. 176 ZGB kann demnach keine Rede sein. Daran vermag auch die Kritik, welche GEISER an BGE 121 I 97 geübt hat (AJP 7/95, S. 939 f.), nichts zu ändern: Wie dieser Autor selber einräumt, entfällt im Fall von Art. 176 Abs. 1 Ziff. 1 ZGB die Problematik, dass allfällige Rückforderungen des Sozialamtes aus nachehelichem Einkommen zu bezahlen wären (GEISER, a.a.O. S. 940), zumal die Ehe hier nach dem Dahinfallen der Eheschutzmassnahmen noch andauert, und eine Pflicht zur Rückleistung in jedem Fall Auswirkungen auf die Mittel beider Ehegatten hat. Nicht zu bestechen vermögen schliesslich auch die Bedenken, welche die Beschwerdeführerin gegen eine Berücksichtigung des Arguments der Erhaltung der Arbeitskraft beim selbständigen Bauern vorbringt. Die Erhaltung der Arbeitskraft wird generell und nicht bezogen auf bestimmte Berufsgattungen verstanden und ist bei selbständiger Tätigkeit zudem besonders stark zu gewichten, zumal freiberuflich tätige Personen ihr Einkommen viel flexibler variieren können als Angestellte; von daher ist es sogar besonders naheliegend, dass sich auch bei jener Berufskategorie die in das Existenzminimum eingreifenden Unterhaltsbeiträge BGE 121 III 301 S. 304 spürbar auf Arbeitsmotivation und Einkommen auswirken. In bezug auf diesen Punkt ist die Beschwerde mithin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